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54E9B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算账经营界面说明文档</w:t>
      </w:r>
    </w:p>
    <w:p w14:paraId="39474922"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取值来源</w:t>
      </w:r>
    </w:p>
    <w:p w14:paraId="0F241988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采购货值（含税）：我方为境内公司的时候，根据“成本结转”入账数据乘以税率所得；我方为境外的取“进口到票”已经入账的所有金额；</w:t>
      </w:r>
    </w:p>
    <w:p w14:paraId="20C64741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销售货值（含税）：无论我方为境内还是境外均取销售结算开票入账数据；</w:t>
      </w:r>
    </w:p>
    <w:p w14:paraId="0BA87E32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预收保证金：取收款分拆中对应销售合同号认到保证金的金额；</w:t>
      </w:r>
    </w:p>
    <w:p w14:paraId="23B820DD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数量：该数量为销售数量，取自销售结算开票的标财数量（即抛送给财务系统中的数量）</w:t>
      </w:r>
    </w:p>
    <w:p w14:paraId="78F95269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单位价差（含税）：此字段通过计算获得，计算公式为：（销售货值-采购货值）/数量</w:t>
      </w:r>
    </w:p>
    <w:p w14:paraId="4C9F3EE6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运输仓储货代等费用：境内取自销售结算开票明细上分摊的费用金额+费用暂估金额，境外费用发票中“费用大类”不是“代收代付类”的明细金额之和</w:t>
      </w:r>
    </w:p>
    <w:p w14:paraId="5CD20635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财务费用指的是：资金使用成本+银行授信使用成本+汇兑损益</w:t>
      </w:r>
    </w:p>
    <w:p w14:paraId="40D62144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印花税取自对应销售合同，在合同生成的时候生成的印花税。</w:t>
      </w:r>
    </w:p>
    <w:p w14:paraId="68335C68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营业收入：我方为境内公司的取自销售结算开票中的不含税金额总和，境外的与销售货值一致；</w:t>
      </w:r>
    </w:p>
    <w:p w14:paraId="0E17AD6F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营业成本：我方为境内公司的取自成本结转中不含税金额，境外与采购货值一致</w:t>
      </w:r>
    </w:p>
    <w:p w14:paraId="7B3CDFEC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利润（本位币）：此数值经计算所得，境内公司的计算公式：营业收入-营业成本-印花税-财务费用，境外公司的计算公式：营业收入-营业成本-印花税-财务费用-运输仓储货代等费用，显示的币别根据我方来决定，</w:t>
      </w:r>
      <w:r>
        <w:rPr>
          <w:rFonts w:hint="eastAsia"/>
          <w:color w:val="FF0000"/>
          <w:lang w:val="en-US" w:eastAsia="zh-CN"/>
        </w:rPr>
        <w:t>境外我方均显示美元，境内均显示人民币</w:t>
      </w:r>
      <w:r>
        <w:rPr>
          <w:rFonts w:hint="eastAsia"/>
          <w:lang w:val="en-US" w:eastAsia="zh-CN"/>
        </w:rPr>
        <w:t>；</w:t>
      </w:r>
    </w:p>
    <w:p w14:paraId="63B70705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利润（CNY）：此数据直接取自“利润（本位币）”，如果是境内则直接显示，</w:t>
      </w:r>
      <w:r>
        <w:rPr>
          <w:rFonts w:hint="eastAsia"/>
          <w:color w:val="FF0000"/>
          <w:lang w:val="en-US" w:eastAsia="zh-CN"/>
        </w:rPr>
        <w:t>如果是境外则根据合同签订时间到合同关闭时间（没有关闭时间的则用当月时间）取这些月的汇率做平均值，使用平均汇率来进行金额的转换</w:t>
      </w:r>
      <w:r>
        <w:rPr>
          <w:rFonts w:hint="eastAsia"/>
          <w:lang w:val="en-US" w:eastAsia="zh-CN"/>
        </w:rPr>
        <w:t>。</w:t>
      </w:r>
    </w:p>
    <w:p w14:paraId="28AE5A77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计息天数：此数据为资金占用天数，即从付款大于收款之日开始计息到收款大于付款金额结束为止，另外补充计息停止时间为合同关闭时间，时间取自付款的实付时间和收款的下收条的时间。</w:t>
      </w:r>
    </w:p>
    <w:p w14:paraId="26D6D85D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资金使用成本：境内为每日计息，根据当天（总付款-总收款）*利率/360所得当天金额，最后汇总所得，境外取费用发票登记界面数据，有“利息费用”10007005、“贴现手续费”10007006和“融资还款利息”10007031；</w:t>
      </w:r>
    </w:p>
    <w:p w14:paraId="51A50360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银行授信使用成本：该值取费用发票登记界面数据，“开证费用”、“银行手续费”；</w:t>
      </w:r>
    </w:p>
    <w:p w14:paraId="2BCBE9C6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汇兑损益：取费用发票登记和财务结转成本界面数据，有“汇兑损益”的数据</w:t>
      </w:r>
    </w:p>
    <w:p w14:paraId="56FC0B2A">
      <w:pPr>
        <w:numPr>
          <w:ilvl w:val="0"/>
          <w:numId w:val="2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销售利率：该值通过计算所得，计算公式为：利润（本位币）/营业收入*100</w:t>
      </w:r>
    </w:p>
    <w:p w14:paraId="66580519">
      <w:pPr>
        <w:numPr>
          <w:ilvl w:val="0"/>
          <w:numId w:val="2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年化资金收益率：（销售货值（含税）-采购货值（含税））/采购货值（含税）/计息天数*360</w:t>
      </w:r>
    </w:p>
    <w:p w14:paraId="75E25553">
      <w:pPr>
        <w:numPr>
          <w:ilvl w:val="0"/>
          <w:numId w:val="2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年化业务收益率：利润/（采购货值（含税）-预收保证金（含税））/计息天数*360</w:t>
      </w:r>
    </w:p>
    <w:p w14:paraId="46439608">
      <w:pPr>
        <w:pStyle w:val="3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超链接</w:t>
      </w:r>
    </w:p>
    <w:p w14:paraId="65237636">
      <w:pPr>
        <w:numPr>
          <w:ilvl w:val="0"/>
          <w:numId w:val="3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销售合同的超链接：销售合同的超链接点击打开的是首付款明细，第一页是比较全面的数据展示，第二页是为方便计算简化后的信息。</w:t>
      </w:r>
    </w:p>
    <w:p w14:paraId="69416D29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营业收入的超链接：该链接点击打开后是收发存台账，主要为方便境内公司查看成本分摊后销售和成本的抛送记录</w:t>
      </w:r>
    </w:p>
    <w:p w14:paraId="77325046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 w14:paraId="425BB694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3、部分后台计算逻辑</w:t>
      </w:r>
    </w:p>
    <w:p w14:paraId="175181E1"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1）汇率使用：根据单据抛账月份取对应月份人民币转美元汇率，美元转人民币：金额*汇率；人民币转美元：金额*（1/汇率）——取六位小数后再乘金额</w:t>
      </w:r>
    </w:p>
    <w:p w14:paraId="2FCF16C3"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2）如果该列的取值存在购销两端的，该列的数据的计算为：销售端的金额+（销售数量/采购数量）*采购端金额，主要使用到的列为：银行授信使用成本、汇兑损益等。</w:t>
      </w:r>
    </w:p>
    <w:p w14:paraId="6ADC7234">
      <w:pPr>
        <w:widowControl w:val="0"/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解释：销售端即为该款项带有销售合同号的均为销售端，只有采购合同号无销售合同号的为采购段。</w:t>
      </w:r>
    </w:p>
    <w:p w14:paraId="7F01FD1E"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汇兑损益抛账规则：登记为“销售汇兑损益”和“代理销售汇兑损益”的抛账规则为“正数汇兑为收益”，在取值的时候先乘以-1再进行币别转换后进行统计，登记为“</w:t>
      </w:r>
      <w:r>
        <w:rPr>
          <w:rFonts w:hint="eastAsia" w:ascii="宋体" w:hAnsi="宋体" w:eastAsia="宋体" w:cs="宋体"/>
          <w:i w:val="0"/>
          <w:iCs w:val="0"/>
          <w:color w:val="000000"/>
          <w:sz w:val="20"/>
          <w:szCs w:val="20"/>
          <w:u w:val="none"/>
          <w:bdr w:val="none" w:color="auto" w:sz="0" w:space="0"/>
        </w:rPr>
        <w:t>代理采购汇兑损益</w:t>
      </w:r>
      <w:r>
        <w:rPr>
          <w:rFonts w:hint="eastAsia"/>
          <w:lang w:val="en-US" w:eastAsia="zh-CN"/>
        </w:rPr>
        <w:t>”、“</w:t>
      </w:r>
      <w:r>
        <w:rPr>
          <w:rFonts w:hint="eastAsia" w:ascii="宋体" w:hAnsi="宋体" w:eastAsia="宋体" w:cs="宋体"/>
          <w:i w:val="0"/>
          <w:iCs w:val="0"/>
          <w:color w:val="000000"/>
          <w:sz w:val="20"/>
          <w:szCs w:val="20"/>
          <w:u w:val="none"/>
          <w:bdr w:val="none" w:color="auto" w:sz="0" w:space="0"/>
        </w:rPr>
        <w:t>采购汇兑损益</w:t>
      </w:r>
      <w:r>
        <w:rPr>
          <w:rFonts w:hint="eastAsia"/>
          <w:lang w:val="en-US" w:eastAsia="zh-CN"/>
        </w:rPr>
        <w:t>”、“</w:t>
      </w:r>
      <w:r>
        <w:rPr>
          <w:rFonts w:hint="eastAsia" w:ascii="宋体" w:hAnsi="宋体" w:eastAsia="宋体" w:cs="宋体"/>
          <w:i w:val="0"/>
          <w:iCs w:val="0"/>
          <w:color w:val="000000"/>
          <w:sz w:val="20"/>
          <w:szCs w:val="20"/>
          <w:u w:val="none"/>
          <w:bdr w:val="none" w:color="auto" w:sz="0" w:space="0"/>
        </w:rPr>
        <w:t>融资汇兑损益</w:t>
      </w:r>
      <w:r>
        <w:rPr>
          <w:rFonts w:hint="eastAsia"/>
          <w:lang w:val="en-US" w:eastAsia="zh-CN"/>
        </w:rPr>
        <w:t>”、“</w:t>
      </w:r>
      <w:r>
        <w:rPr>
          <w:rFonts w:hint="eastAsia" w:ascii="宋体" w:hAnsi="宋体" w:eastAsia="宋体" w:cs="宋体"/>
          <w:i w:val="0"/>
          <w:iCs w:val="0"/>
          <w:color w:val="000000"/>
          <w:sz w:val="20"/>
          <w:szCs w:val="20"/>
          <w:u w:val="none"/>
          <w:bdr w:val="none" w:color="auto" w:sz="0" w:space="0"/>
        </w:rPr>
        <w:t>银行汇兑损益</w:t>
      </w:r>
      <w:r>
        <w:rPr>
          <w:rFonts w:hint="eastAsia"/>
          <w:lang w:val="en-US" w:eastAsia="zh-CN"/>
        </w:rPr>
        <w:t>”的抛账规则为“正数汇兑为损失”，在取值的时候取原数据转换币别之后进行统计。</w:t>
      </w:r>
    </w:p>
    <w:p w14:paraId="3B7CB60F"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印花税直接取销售合同中计算好的印花税金额，印花税计算公式为：（采购货值+销售货值）*0.03%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645A2"/>
    <w:multiLevelType w:val="singleLevel"/>
    <w:tmpl w:val="E79645A2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FF68B119"/>
    <w:multiLevelType w:val="singleLevel"/>
    <w:tmpl w:val="FF68B11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A93B1E9"/>
    <w:multiLevelType w:val="singleLevel"/>
    <w:tmpl w:val="2A93B1E9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47A59"/>
    <w:rsid w:val="1DBD60FC"/>
    <w:rsid w:val="1F4202D5"/>
    <w:rsid w:val="2A0A3494"/>
    <w:rsid w:val="302A52C8"/>
    <w:rsid w:val="3354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950</Words>
  <Characters>983</Characters>
  <Lines>0</Lines>
  <Paragraphs>0</Paragraphs>
  <TotalTime>30</TotalTime>
  <ScaleCrop>false</ScaleCrop>
  <LinksUpToDate>false</LinksUpToDate>
  <CharactersWithSpaces>983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2026-08-10T08:01:00Z</dcterms:created>
  <dc:creator>张庆宇</dc:creator>
  <cp:lastModifiedBy>张庆宇</cp:lastModifiedBy>
  <dcterms:modified xsi:type="dcterms:W3CDTF">2026-08-31T02:14:22Z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2D3F04FC5CA542EA9AB5B5C35EC4B1A0_11</vt:lpwstr>
  </property>
  <property fmtid="{D5CDD505-2E9C-101B-9397-08002B2CF9AE}" pid="4" name="KSOTemplateDocerSaveRecord">
    <vt:lpwstr>eyJoZGlkIjoiMWNhMGFjYjUwYjg5N2QzOWE0ZDFiMzFmY2M2MTViZmQiLCJ1c2VySWQiOiIxNDg4NjUxNDQxIn0=</vt:lpwstr>
  </property>
</Properties>
</file>